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FIGURE PACKET - V2</w:t>
      </w:r>
    </w:p>
    <w:p>
      <w:pPr>
        <w:pStyle w:val="Subtitle"/>
        <w:jc w:val="center"/>
      </w:pPr>
      <w:r>
        <w:t>Draft figure set for provisional filing support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EDF3FF"/>
            <w:vAlign w:val="center"/>
          </w:tcPr>
          <w:p>
            <w:r>
              <w:rPr>
                <w:b/>
                <w:color w:val="224582"/>
              </w:rPr>
              <w:t>How to use this packet</w:t>
              <w:br/>
            </w:r>
            <w:r>
              <w:rPr>
                <w:sz w:val="21"/>
              </w:rPr>
              <w:t>These are figure concepts and captions that can be converted into formal patent drawings later.</w:t>
              <w:br/>
            </w:r>
            <w:r>
              <w:rPr>
                <w:sz w:val="21"/>
              </w:rPr>
              <w:t>The goal is to give the filing binder a complete narrative spine: system, lifecycle, structure, locking, verification, and identity.</w:t>
              <w:br/>
            </w:r>
            <w:r>
              <w:rPr>
                <w:sz w:val="21"/>
              </w:rPr>
              <w:t>Text diagrams are used here as content placeholders so no claim support is lost before formal drawings are created.</w:t>
            </w:r>
          </w:p>
        </w:tc>
      </w:tr>
    </w:tbl>
    <w:p/>
    <w:p>
      <w:pPr>
        <w:pStyle w:val="Heading1"/>
      </w:pPr>
      <w:r>
        <w:t>Figure 1. System overview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EDF3FF"/>
            <w:vAlign w:val="center"/>
          </w:tcPr>
          <w:p>
            <w:r>
              <w:rPr>
                <w:b/>
                <w:color w:val="224582"/>
              </w:rPr>
              <w:t>Draft diagram</w:t>
              <w:br/>
            </w:r>
            <w:r>
              <w:rPr>
                <w:sz w:val="21"/>
              </w:rPr>
              <w:t>Authoring interface -&gt; Finalization pipeline -&gt; Artifact container -&gt; Optional registry -&gt; Optional public ledger</w:t>
            </w:r>
          </w:p>
        </w:tc>
      </w:tr>
    </w:tbl>
    <w:p/>
    <w:p>
      <w:r>
        <w:t>Shows the overall architecture and keeps registry/ledger downstream of artifact creation.</w:t>
      </w:r>
    </w:p>
    <w:p>
      <w:pPr>
        <w:pStyle w:val="Heading2"/>
      </w:pPr>
      <w:r>
        <w:t>Suggested caption:</w:t>
      </w:r>
    </w:p>
    <w:p>
      <w:r>
        <w:t>Figure 1. System overview illustrates shows the overall architecture and keeps registry/ledger downstream of artifact creation.</w:t>
      </w:r>
    </w:p>
    <w:p>
      <w:pPr>
        <w:pStyle w:val="Heading1"/>
      </w:pPr>
      <w:r>
        <w:t>Figure 2. Lifecycle flow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EDF3FF"/>
            <w:vAlign w:val="center"/>
          </w:tcPr>
          <w:p>
            <w:r>
              <w:rPr>
                <w:b/>
                <w:color w:val="224582"/>
              </w:rPr>
              <w:t>Draft diagram</w:t>
              <w:br/>
            </w:r>
            <w:r>
              <w:rPr>
                <w:sz w:val="21"/>
              </w:rPr>
              <w:t>Edit state -&gt; Preview state -&gt; Finalize instruction -&gt; Locked exported artifact -&gt; Browser retrieval</w:t>
            </w:r>
          </w:p>
        </w:tc>
      </w:tr>
    </w:tbl>
    <w:p/>
    <w:p>
      <w:r>
        <w:t>Shows the state transition that is central to the invention.</w:t>
      </w:r>
    </w:p>
    <w:p>
      <w:pPr>
        <w:pStyle w:val="Heading2"/>
      </w:pPr>
      <w:r>
        <w:t>Suggested caption:</w:t>
      </w:r>
    </w:p>
    <w:p>
      <w:r>
        <w:t>Figure 2. Lifecycle flow illustrates shows the state transition that is central to the invention.</w:t>
      </w:r>
    </w:p>
    <w:p>
      <w:pPr>
        <w:pStyle w:val="Heading1"/>
      </w:pPr>
      <w:r>
        <w:t>Figure 3. Container structure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EDF3FF"/>
            <w:vAlign w:val="center"/>
          </w:tcPr>
          <w:p>
            <w:r>
              <w:rPr>
                <w:b/>
                <w:color w:val="224582"/>
              </w:rPr>
              <w:t>Draft diagram</w:t>
              <w:br/>
            </w:r>
            <w:r>
              <w:rPr>
                <w:sz w:val="21"/>
              </w:rPr>
              <w:t>finals/{slug}/</w:t>
              <w:br/>
              <w:t xml:space="preserve">  index.html</w:t>
              <w:br/>
              <w:t xml:space="preserve">  meta.json</w:t>
              <w:br/>
              <w:t xml:space="preserve">  metadata.json</w:t>
              <w:br/>
              <w:t xml:space="preserve">  assets/*</w:t>
            </w:r>
          </w:p>
        </w:tc>
      </w:tr>
    </w:tbl>
    <w:p/>
    <w:p>
      <w:r>
        <w:t>Shows the container layout and hosted storage arrangement.</w:t>
      </w:r>
    </w:p>
    <w:p>
      <w:pPr>
        <w:pStyle w:val="Heading2"/>
      </w:pPr>
      <w:r>
        <w:t>Suggested caption:</w:t>
      </w:r>
    </w:p>
    <w:p>
      <w:r>
        <w:t>Figure 3. Container structure illustrates shows the container layout and hosted storage arrangement.</w:t>
      </w:r>
    </w:p>
    <w:p>
      <w:pPr>
        <w:pStyle w:val="Heading1"/>
      </w:pPr>
      <w:r>
        <w:t>Figure 4. Export assembly path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EDF3FF"/>
            <w:vAlign w:val="center"/>
          </w:tcPr>
          <w:p>
            <w:r>
              <w:rPr>
                <w:b/>
                <w:color w:val="224582"/>
              </w:rPr>
              <w:t>Draft diagram</w:t>
              <w:br/>
            </w:r>
            <w:r>
              <w:rPr>
                <w:sz w:val="21"/>
              </w:rPr>
              <w:t>Defined inputs + finalized DOM state -&gt; Canonical export HTML -&gt; Packaged metadata + assets -&gt; Published artifact</w:t>
            </w:r>
          </w:p>
        </w:tc>
      </w:tr>
    </w:tbl>
    <w:p/>
    <w:p>
      <w:r>
        <w:t>Shows freeze-at-mint assembly and packaging.</w:t>
      </w:r>
    </w:p>
    <w:p>
      <w:pPr>
        <w:pStyle w:val="Heading2"/>
      </w:pPr>
      <w:r>
        <w:t>Suggested caption:</w:t>
      </w:r>
    </w:p>
    <w:p>
      <w:r>
        <w:t>Figure 4. Export assembly path illustrates shows freeze-at-mint assembly and packaging.</w:t>
      </w:r>
    </w:p>
    <w:p>
      <w:pPr>
        <w:pStyle w:val="Heading1"/>
      </w:pPr>
      <w:r>
        <w:t>Figure 5. Lock-state mechanism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EDF3FF"/>
            <w:vAlign w:val="center"/>
          </w:tcPr>
          <w:p>
            <w:r>
              <w:rPr>
                <w:b/>
                <w:color w:val="224582"/>
              </w:rPr>
              <w:t>Draft diagram</w:t>
              <w:br/>
            </w:r>
            <w:r>
              <w:rPr>
                <w:sz w:val="21"/>
              </w:rPr>
              <w:t>data-exported=true + data-mint-state=minted + disabled/readonly controls</w:t>
            </w:r>
          </w:p>
        </w:tc>
      </w:tr>
    </w:tbl>
    <w:p/>
    <w:p>
      <w:r>
        <w:t>Shows how exported-state markers distinguish the final artifact from the authoring state.</w:t>
      </w:r>
    </w:p>
    <w:p>
      <w:pPr>
        <w:pStyle w:val="Heading2"/>
      </w:pPr>
      <w:r>
        <w:t>Suggested caption:</w:t>
      </w:r>
    </w:p>
    <w:p>
      <w:r>
        <w:t>Figure 5. Lock-state mechanism illustrates shows how exported-state markers distinguish the final artifact from the authoring state.</w:t>
      </w:r>
    </w:p>
    <w:p>
      <w:pPr>
        <w:pStyle w:val="Heading1"/>
      </w:pPr>
      <w:r>
        <w:t>Figure 6. Verification pathway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EDF3FF"/>
            <w:vAlign w:val="center"/>
          </w:tcPr>
          <w:p>
            <w:r>
              <w:rPr>
                <w:b/>
                <w:color w:val="224582"/>
              </w:rPr>
              <w:t>Draft diagram</w:t>
              <w:br/>
            </w:r>
            <w:r>
              <w:rPr>
                <w:sz w:val="21"/>
              </w:rPr>
              <w:t>Artifact final URL -&gt; redirect handshake / registry ingest -&gt; optional record(artifactHash, mintedUrl)</w:t>
            </w:r>
          </w:p>
        </w:tc>
      </w:tr>
    </w:tbl>
    <w:p/>
    <w:p>
      <w:r>
        <w:t>Shows optional verification services without making them foundational.</w:t>
      </w:r>
    </w:p>
    <w:p>
      <w:pPr>
        <w:pStyle w:val="Heading2"/>
      </w:pPr>
      <w:r>
        <w:t>Suggested caption:</w:t>
      </w:r>
    </w:p>
    <w:p>
      <w:r>
        <w:t>Figure 6. Verification pathway illustrates shows optional verification services without making them foundational.</w:t>
      </w:r>
    </w:p>
    <w:p>
      <w:pPr>
        <w:pStyle w:val="Heading1"/>
      </w:pPr>
      <w:r>
        <w:t>Figure 7. Identity layers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EDF3FF"/>
            <w:vAlign w:val="center"/>
          </w:tcPr>
          <w:p>
            <w:r>
              <w:rPr>
                <w:b/>
                <w:color w:val="224582"/>
              </w:rPr>
              <w:t>Draft diagram</w:t>
              <w:br/>
            </w:r>
            <w:r>
              <w:rPr>
                <w:sz w:val="21"/>
              </w:rPr>
              <w:t>User-facing artifact identity / finals path identity / optional verification identity</w:t>
            </w:r>
          </w:p>
        </w:tc>
      </w:tr>
    </w:tbl>
    <w:p/>
    <w:p>
      <w:r>
        <w:t>Shows multiple coordinated identity layers and preserves deterministic as an embodiment rather than a universal requirement.</w:t>
      </w:r>
    </w:p>
    <w:p>
      <w:pPr>
        <w:pStyle w:val="Heading2"/>
      </w:pPr>
      <w:r>
        <w:t>Suggested caption:</w:t>
      </w:r>
    </w:p>
    <w:p>
      <w:r>
        <w:t>Figure 7. Identity layers illustrates shows multiple coordinated identity layers and preserves deterministic as an embodiment rather than a universal requirement.</w:t>
      </w:r>
    </w:p>
    <w:sectPr w:rsidR="00FC693F" w:rsidRPr="0006063C" w:rsidSect="00034616">
      <w:footerReference w:type="default" r:id="rId9"/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Confidential working draft - SpinStream figure packet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224582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224582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32323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224582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5A5A5A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