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PROVISIONAL-STYLE PATENT DRAFT - V2</w:t>
      </w:r>
    </w:p>
    <w:p>
      <w:pPr>
        <w:pStyle w:val="Subtitle"/>
        <w:jc w:val="center"/>
      </w:pPr>
      <w:r>
        <w:t>Browser-Native Portable Artifact Container and Generation System</w:t>
      </w:r>
    </w:p>
    <w:p/>
    <w:tbl>
      <w:tblPr>
        <w:tblW w:type="auto" w:w="0"/>
        <w:jc w:val="center"/>
        <w:tblLayout w:type="autofit"/>
        <w:tblLook w:firstColumn="1" w:firstRow="1" w:lastColumn="0" w:lastRow="0" w:noHBand="0" w:noVBand="1" w:val="04A0"/>
      </w:tblPr>
      <w:tblGrid>
        <w:gridCol w:w="9648"/>
      </w:tblGrid>
      <w:tr>
        <w:tc>
          <w:tcPr>
            <w:tcW w:type="dxa" w:w="9648"/>
            <w:shd w:fill="EDF3FF"/>
            <w:vAlign w:val="center"/>
          </w:tcPr>
          <w:p>
            <w:r>
              <w:rPr>
                <w:b/>
                <w:color w:val="224582"/>
              </w:rPr>
              <w:t>Core invention framing</w:t>
              <w:br/>
            </w:r>
            <w:r>
              <w:rPr>
                <w:sz w:val="21"/>
              </w:rPr>
              <w:t>The artifact is the primary object. Registry and public-ledger anchoring are optional adjunct verification layers.</w:t>
              <w:br/>
            </w:r>
            <w:r>
              <w:rPr>
                <w:sz w:val="21"/>
              </w:rPr>
              <w:t>The disclosed system generates the browser-native artifact itself first, then may associate that artifact with registry and ledger records.</w:t>
              <w:br/>
            </w:r>
            <w:r>
              <w:rPr>
                <w:sz w:val="21"/>
              </w:rPr>
              <w:t>This draft is framed as a provisional-style specification and claim-development package, not legal advice.</w:t>
            </w:r>
          </w:p>
        </w:tc>
      </w:tr>
    </w:tbl>
    <w:p/>
    <w:p>
      <w:pPr>
        <w:pStyle w:val="Heading1"/>
      </w:pPr>
      <w:r>
        <w:t>1. Field</w:t>
      </w:r>
    </w:p>
    <w:p>
      <w:r>
        <w:t>The disclosure relates to computer-implemented systems for generating, packaging, publishing, rendering, and verifying digital artifacts. More particularly, the disclosure concerns a browser-native portable artifact container and generation system that transitions a composite digital work from an editable authoring state to a locked self-rendering artifact state.</w:t>
      </w:r>
    </w:p>
    <w:p>
      <w:pPr>
        <w:pStyle w:val="Heading1"/>
      </w:pPr>
      <w:r>
        <w:t>2. Background</w:t>
      </w:r>
    </w:p>
    <w:p>
      <w:r>
        <w:t>Many digital works are distributed through streams, feeds, cloud dashboards, token pointers, or downloadable files that depend on a separate application, platform, or viewer. Those arrangements often separate the public-facing record from the actual artifact, leaving creators with a link, a token record, or a feed entry instead of a durable browser-renderable object.</w:t>
      </w:r>
    </w:p>
    <w:p>
      <w:r>
        <w:t>Conventional token-centric systems frequently require wallet setup, token minting flows, third-party marketplaces, and pointer-based storage before a creator obtains a publicly referenceable digital object. By contrast, the present system creates the artifact itself as the primary browser-native object and permits registry or public-ledger association only as optional follow-on functions.</w:t>
      </w:r>
    </w:p>
    <w:p>
      <w:r>
        <w:t>Accordingly, there is a need for a system that can accept defined media, metadata, and presentation-state inputs; generate a portable browser-native artifact from those inputs; lock the artifact against further authoring changes while preserving viewer behavior; and optionally associate the artifact with registry or blockchain verification without making such verification constitutive of the artifact.</w:t>
      </w:r>
    </w:p>
    <w:p>
      <w:pPr>
        <w:pStyle w:val="Heading1"/>
      </w:pPr>
      <w:r>
        <w:t>3. Summary of the Disclosure</w:t>
      </w:r>
    </w:p>
    <w:p>
      <w:r>
        <w:t>The present disclosure provides a browser-native portable artifact container and generation system. In one aspect, a computing system receives defined inputs including media, metadata, and presentation-state information, captures a finalized state of a browser-based composition, transforms that state into a canonical export package, and publishes a self-rendering artifact container that can be rendered in a standard browser without a specialized viewer.</w:t>
      </w:r>
    </w:p>
    <w:p>
      <w:r>
        <w:t>The exported artifact can include a canonical HTML payload, structured metadata, and associated assets arranged in a hosted or portable container structure. The same HTML document can serve as both payload and viewer. Export markers and lock-state logic can distinguish the final artifact from the authoring environment. Optional registry and public-ledger verification layers can record references to the artifact without being required for the artifact to exist or render.</w:t>
      </w:r>
    </w:p>
    <w:p>
      <w:r>
        <w:t>In some embodiments, identity attributes are derived from defined inputs, finalized state, canonical export structure, or combinations thereof. In other embodiments, backend addressing and user-facing identity components may differ, while still preserving artifact continuity and verification linkage.</w:t>
      </w:r>
    </w:p>
    <w:p>
      <w:pPr>
        <w:pStyle w:val="Heading1"/>
      </w:pPr>
      <w:r>
        <w:t>4. Positive distinction from token-centric systems</w:t>
      </w:r>
    </w:p>
    <w:p>
      <w:r>
        <w:t>Unlike token-centric systems in which a tokenized record refers to or indexes an external digital item, the disclosed system generates the browser-native artifact itself as the primary object, with registry and public-ledger association being optional adjunct functions rather than prerequisites to artifact creation.</w:t>
      </w:r>
    </w:p>
    <w:p>
      <w:r>
        <w:t>The system reduces intermediary tokenization steps by enabling direct creation, finalization, packaging, and browser-native rendering of the artifact prior to, or independent of, any ledger anchoring or registry association. This lowers operational friction while preserving optional verification pathways for implementations that later choose to use them.</w:t>
      </w:r>
    </w:p>
    <w:p>
      <w:pPr>
        <w:pStyle w:val="Heading1"/>
      </w:pPr>
      <w:r>
        <w:t>5. Brief Description of Example Figures</w:t>
      </w:r>
    </w:p>
    <w:p>
      <w:r>
        <w:t>Figure 1 illustrates an overall system architecture including authoring interface, finalization pipeline, container publication path, optional registry services, and optional public-ledger services.</w:t>
      </w:r>
    </w:p>
    <w:p>
      <w:r>
        <w:t>Figure 2 illustrates an example lifecycle from editable authoring state to preview state to locked exported artifact state to retrieval in a browser.</w:t>
      </w:r>
    </w:p>
    <w:p>
      <w:r>
        <w:t>Figure 3 illustrates an example artifact container layout including index.html, meta.json, metadata.json, and role-mapped assets under a finals path.</w:t>
      </w:r>
    </w:p>
    <w:p>
      <w:r>
        <w:t>Figure 4 illustrates an example export method in which a finalized DOM state is transformed into a portable artifact package.</w:t>
      </w:r>
    </w:p>
    <w:p>
      <w:r>
        <w:t>Figure 5 illustrates an example lock mechanism employing exported-state markers and disabled authoring controls.</w:t>
      </w:r>
    </w:p>
    <w:p>
      <w:r>
        <w:t>Figure 6 illustrates an example verification pathway employing registry ingest, redirect handshake, and optional ledger recording.</w:t>
      </w:r>
    </w:p>
    <w:p>
      <w:r>
        <w:t>Figure 7 illustrates example identity layers, including user-facing artifact identity, storage path identity, and optional verification identity.</w:t>
      </w:r>
    </w:p>
    <w:p>
      <w:pPr>
        <w:pStyle w:val="Heading1"/>
      </w:pPr>
      <w:r>
        <w:t>6. Definitions</w:t>
      </w:r>
    </w:p>
    <w:p>
      <w:r>
        <w:t>Artifact. A composite digital object comprising media, metadata, and presentation structure intended to be retrieved and rendered as a cohesive browser-facing unit.</w:t>
      </w:r>
    </w:p>
    <w:p>
      <w:r>
        <w:t>Artifact container. A portable browser-renderable package that stores or references the artifact payload, metadata, and associated assets in a stable arrangement.</w:t>
      </w:r>
    </w:p>
    <w:p>
      <w:r>
        <w:t>Browser-native. Renderable in a conventional browser without requiring a specialized native application or proprietary viewer dedicated to the artifact type.</w:t>
      </w:r>
    </w:p>
    <w:p>
      <w:r>
        <w:t>Finalized artifact state. A non-editable or constrained state in which authoring controls are hidden, disabled, removed, or otherwise suppressed while artifact viewing behavior is preserved.</w:t>
      </w:r>
    </w:p>
    <w:p>
      <w:r>
        <w:t>Optional verification layer. A registry, database, ledger, blockchain, or other verification mechanism that may be associated with the artifact without being necessary for artifact existence or rendering.</w:t>
      </w:r>
    </w:p>
    <w:p>
      <w:pPr>
        <w:pStyle w:val="Heading1"/>
      </w:pPr>
      <w:r>
        <w:t>7. Detailed Description</w:t>
      </w:r>
    </w:p>
    <w:p>
      <w:r>
        <w:t>In one embodiment, a browser-based authoring interface maintains a current editable composition of the artifact. The composition can include text, images, audio, video, links, styling, layout state, helper logic, and selected metadata fields. Upon receipt of a finalization command, the system stabilizes the composition, captures a defined final state, updates export metadata, and assembles a package containing an HTML artifact payload, structured metadata, and associated assets.</w:t>
      </w:r>
    </w:p>
    <w:p>
      <w:r>
        <w:t>Code-level mint tracing supplied by the inventor shows an implementation in which a finalize button triggers handleMintClick(), performFinalize(), and freezeAndUpload(); a canonical HTML export is produced by buildInlineExportHtml(); and a multipart payload including index.html, meta.json, metadata.json, and role-mapped assets is posted to an upstream mint endpoint. The returned final URL is then used for optional gallery redirect and optional registry ingest. This trace strongly supports freeze-at-mint packaging and a transition from editable state to locked artifact state.</w:t>
      </w:r>
    </w:p>
    <w:p>
      <w:r>
        <w:t>Example export logic can insert explicit markers such as data-exported="true" and data-mint-state="minted" into the HTML body, disable or mark controls read-only, and preserve viewer-side behavior for audio, video, links, and presentation. In some embodiments, the artifact viewer fetches local metadata to enforce access state, expiry state, or status-driven rendering rules without reintroducing authoring controls.</w:t>
      </w:r>
    </w:p>
    <w:p>
      <w:r>
        <w:t>The disclosed architecture also supports the same HTML file operating as both payload and viewer. This is a meaningful distinction from arrangements in which the artifact is merely referenced by an external record. The browser-native artifact can be portable, hosted under a finals path such as /finals/{slug}/, or later mirrored elsewhere while remaining a coherent artifact unit.</w:t>
      </w:r>
    </w:p>
    <w:p>
      <w:r>
        <w:t>Optional verification services can receive an artifact hash, a final URL, or a registry payload. However, the artifact itself does not depend on those verification services to exist, render, or function as an artifact. Verification is supportive and separable. In some embodiments, identity may be derived deterministically from defined inputs or canonical export state; in other embodiments, backend slugs or registry identifiers may be assigned by upstream services. The inventive concept therefore centers on artifact generation, packaging, and locking, not on any one identity algorithm.</w:t>
      </w:r>
    </w:p>
    <w:p>
      <w:pPr>
        <w:pStyle w:val="Heading1"/>
      </w:pPr>
      <w:r>
        <w:t>8. Example embodiments</w:t>
      </w:r>
    </w:p>
    <w:p>
      <w:r>
        <w:t>Media artifact embodiment. The artifact includes cover imagery, audio, video, artist text, links, and branding arranged into a browser-native promotional or archival presentation.</w:t>
      </w:r>
    </w:p>
    <w:p>
      <w:r>
        <w:t>Commemorative artifact embodiment. The artifact includes images, narrative text, event metadata, and optional multimedia arranged into a persistent browser-viewable life-event artifact.</w:t>
      </w:r>
    </w:p>
    <w:p>
      <w:r>
        <w:t>Verification-light embodiment. The artifact is finalized, exported, hosted, and retrieved without any blockchain interaction.</w:t>
      </w:r>
    </w:p>
    <w:p>
      <w:r>
        <w:t>Verification-enhanced embodiment. The artifact is additionally associated with registry ingest and public-ledger recording for verification.</w:t>
      </w:r>
    </w:p>
    <w:p>
      <w:r>
        <w:t>Portable package embodiment. The artifact package is stored as index.html plus metadata files and assets, such that the package can be transferred or mirrored while preserving browser-renderable behavior.</w:t>
      </w:r>
    </w:p>
    <w:p>
      <w:pPr>
        <w:pStyle w:val="Heading1"/>
      </w:pPr>
      <w:r>
        <w:t>9. Disclosure support notes</w:t>
      </w:r>
    </w:p>
    <w:p>
      <w:r>
        <w:t>The presently visible code strongly supports the freeze-at-mint export pipeline, immutable export markers, role-mapped asset packaging, and optional redirect/registry/ledger handshakes. The visible code does not by itself fully prove end-to-end deterministic identity generation for every implementation path because some slug and hash logic appears to be external. The specification is therefore drafted to preserve both deterministic and non-deterministic identity embodiments without overstating visible implementation proof.</w:t>
      </w:r>
    </w:p>
    <w:p>
      <w:pPr>
        <w:pStyle w:val="Heading1"/>
      </w:pPr>
      <w:r>
        <w:t>10. Abstract</w:t>
      </w:r>
    </w:p>
    <w:p>
      <w:r>
        <w:t>A computer-implemented system generates a browser-native portable artifact from defined media, metadata, and presentation-state inputs. A finalized state of a browser-based composition is captured and transformed into a self-rendering export package comprising an HTML payload, structured metadata, and associated assets. The exported artifact is placed into a locked non-editable state while preserving viewer-side rendering behavior. The artifact may be hosted or transferred as a portable browser-renderable container and may optionally be associated with registry and public-ledger verification records. The artifact itself is primary, while registry and ledger functions are optional adjunct verification layers.</w:t>
      </w:r>
    </w:p>
    <w:sectPr w:rsidR="00FC693F" w:rsidRPr="0006063C" w:rsidSect="00034616">
      <w:footerReference w:type="default" r:id="rId9"/>
      <w:pgSz w:w="12240" w:h="15840"/>
      <w:pgMar w:top="1152"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8"/>
      </w:rPr>
      <w:t>Confidential working draft - SpinStream provisional package v2</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224582"/>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224582"/>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323232"/>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224582"/>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iCs/>
      <w:color w:val="5A5A5A"/>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